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附件：</w:t>
      </w:r>
    </w:p>
    <w:p>
      <w:pPr>
        <w:pStyle w:val="8"/>
        <w:keepNext/>
        <w:keepLines/>
        <w:shd w:val="clear" w:color="auto" w:fil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四川省科学技术厅责任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清单</w:t>
      </w:r>
      <w:bookmarkEnd w:id="1"/>
    </w:p>
    <w:tbl>
      <w:tblPr>
        <w:tblStyle w:val="6"/>
        <w:tblW w:w="15840" w:type="dxa"/>
        <w:tblInd w:w="-9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495"/>
        <w:gridCol w:w="615"/>
        <w:gridCol w:w="1200"/>
        <w:gridCol w:w="1395"/>
        <w:gridCol w:w="1020"/>
        <w:gridCol w:w="4560"/>
        <w:gridCol w:w="1605"/>
        <w:gridCol w:w="3240"/>
        <w:gridCol w:w="856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3" w:hRule="exact"/>
        </w:trPr>
        <w:tc>
          <w:tcPr>
            <w:tcW w:w="495" w:type="dxa"/>
            <w:vMerge w:val="restart"/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line="240" w:lineRule="auto"/>
              <w:ind w:firstLine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  <w:t>序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3210" w:type="dxa"/>
            <w:gridSpan w:val="3"/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line="240" w:lineRule="auto"/>
              <w:ind w:firstLine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  <w:t>权力清单</w:t>
            </w:r>
          </w:p>
        </w:tc>
        <w:tc>
          <w:tcPr>
            <w:tcW w:w="11281" w:type="dxa"/>
            <w:gridSpan w:val="5"/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line="240" w:lineRule="auto"/>
              <w:ind w:firstLine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  <w:t>责任清单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line="240" w:lineRule="auto"/>
              <w:ind w:firstLine="210" w:firstLineChars="100"/>
              <w:jc w:val="left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38" w:hRule="exact"/>
        </w:trPr>
        <w:tc>
          <w:tcPr>
            <w:tcW w:w="49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15" w:type="dxa"/>
            <w:shd w:val="clear" w:color="auto" w:fill="FFFFFF"/>
          </w:tcPr>
          <w:p>
            <w:pPr>
              <w:pStyle w:val="9"/>
              <w:shd w:val="clear" w:color="auto" w:fill="auto"/>
              <w:spacing w:line="302" w:lineRule="exact"/>
              <w:ind w:firstLine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  <w:t>权力 类型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line="240" w:lineRule="auto"/>
              <w:ind w:firstLine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  <w:t>权力名称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line="240" w:lineRule="auto"/>
              <w:ind w:firstLine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  <w:t>设定依据</w:t>
            </w:r>
          </w:p>
        </w:tc>
        <w:tc>
          <w:tcPr>
            <w:tcW w:w="1020" w:type="dxa"/>
            <w:shd w:val="clear" w:color="auto" w:fill="FFFFFF"/>
          </w:tcPr>
          <w:p>
            <w:pPr>
              <w:pStyle w:val="9"/>
              <w:shd w:val="clear" w:color="auto" w:fill="auto"/>
              <w:spacing w:line="302" w:lineRule="exact"/>
              <w:ind w:firstLine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  <w:t>责任</w:t>
            </w:r>
          </w:p>
          <w:p>
            <w:pPr>
              <w:pStyle w:val="9"/>
              <w:shd w:val="clear" w:color="auto" w:fill="auto"/>
              <w:spacing w:line="302" w:lineRule="exact"/>
              <w:ind w:firstLine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  <w:t>主体</w:t>
            </w:r>
          </w:p>
        </w:tc>
        <w:tc>
          <w:tcPr>
            <w:tcW w:w="4560" w:type="dxa"/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line="240" w:lineRule="auto"/>
              <w:ind w:firstLine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  <w:t>责任事项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line="240" w:lineRule="auto"/>
              <w:ind w:firstLine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  <w:t>问责依据</w:t>
            </w:r>
          </w:p>
        </w:tc>
        <w:tc>
          <w:tcPr>
            <w:tcW w:w="3240" w:type="dxa"/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line="298" w:lineRule="exact"/>
              <w:ind w:firstLine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  <w:t>追责情形</w:t>
            </w:r>
          </w:p>
        </w:tc>
        <w:tc>
          <w:tcPr>
            <w:tcW w:w="856" w:type="dxa"/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line="240" w:lineRule="auto"/>
              <w:ind w:firstLine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  <w:t>监督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1"/>
                <w:szCs w:val="21"/>
              </w:rPr>
              <w:t>方式</w:t>
            </w:r>
          </w:p>
        </w:tc>
        <w:tc>
          <w:tcPr>
            <w:tcW w:w="85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37" w:hRule="exact"/>
        </w:trPr>
        <w:tc>
          <w:tcPr>
            <w:tcW w:w="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bookmarkStart w:id="0" w:name="OLE_LINK1" w:colFirst="1" w:colLast="4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许可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实验动物生产和使用许可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</w:pPr>
            <w:r>
              <w:rPr>
                <w:rFonts w:hint="default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《实验动物质量管理办法》第九条、第十二条、第十三条、第十四条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</w:pPr>
            <w:r>
              <w:rPr>
                <w:rFonts w:hint="default" w:eastAsia="方正仿宋简体" w:cs="Times New Roman"/>
                <w:color w:val="auto"/>
                <w:sz w:val="21"/>
                <w:szCs w:val="21"/>
                <w:lang w:val="en-US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《实验动物管理条例》第六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条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资源配置与管理处</w:t>
            </w:r>
          </w:p>
        </w:tc>
        <w:tc>
          <w:tcPr>
            <w:tcW w:w="45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1.受理责任：一次性告知补正材料，依法受理或不予受理（不予受理应当告知理由）。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2.审查责任：组织专家组对申请单位的申请材料及实际情况进行审查和现场验收，出具专家组验收意见。发现行政许可事项直接关系他人重大利益的，应当告知该利害关系人。申请人、利害关系人有权进行陈述和申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3.决定责任：在规定期限内，对符合条件的，作出准予许可的决定；对不符合条件的，作出不予许可的决定并说明理由。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4.事后监督责任：建立实施监督检查的运行机制和管理制度，开展定期和不定期检查，依法采取相关处置措施。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5.其他责任：法律法规规章文件应履行的其他责任。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《中华人民共和国行政许可法》第七十二条、七十三条、七十四条、七十七条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</w:pPr>
            <w:r>
              <w:rPr>
                <w:rFonts w:hint="default" w:eastAsia="方正仿宋简体" w:cs="Times New Roman"/>
                <w:color w:val="auto"/>
                <w:sz w:val="21"/>
                <w:szCs w:val="21"/>
                <w:lang w:val="en-US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《四川省行政执法监督条例》第四十四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条</w:t>
            </w:r>
          </w:p>
        </w:tc>
        <w:tc>
          <w:tcPr>
            <w:tcW w:w="32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追责情形：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《中华人民共和国行政许可法》第七十二条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，《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中华人民共和国行政机关公务员处分条例》第二十一条以及其他依法应当追究的情形。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免责情形：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《中华人民共和国行政机关公务员处分条例》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第十三条、第十四条、第十五条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以及其他依法应当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免责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的情形。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85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监督电话：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28-86669179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366" w:hRule="exact"/>
        </w:trPr>
        <w:tc>
          <w:tcPr>
            <w:tcW w:w="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处罚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对在科技成果转化和科技奖励活动中弄虚作假，侵占他人的科技成果，骗取奖励和荣誉称号的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行政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处罚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《中华人民共和国促进科技成果转化法》第四十七条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2.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四川省促进科技成果转化条例》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第二十八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条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成果转化与区域创新处、科技奖励与科普处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45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1.立案责任：发现涉嫌在科技成果转化和科技奖励活动中弄虚作假，侵占他人的科技成果，骗取奖励和荣誉称号的，予以审查，决定是否立案。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2.调查责任：对立案的案件及时组织调查取证，与当事人有直接利害关系的应当回避。执法人员不得少于两人，询问或者检查应当制作笔录，允许当事人陈述和辩解。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 xml:space="preserve">3.审查责任：对案件违法事实、证据、调查取证程序、法律适用、处罚种类和幅度、当事人陈述和申辩进行审查，提出处理意见。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4.告知责任：作出行政处罚前，应制作《行政处罚告知书》 送达当事人，告知其作出行政处罚决定的事实、理由及依据，并告知当事人依法享有的权利。符合听证规定的，制作并送达《行政处罚听证告知书》。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5.决定责任：作出处罚决定，制作《行政处罚决定书》，并载明行政处罚告知、当事人陈述申辩或者听证情况等内容。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6.送达责任：按照法律法规规定的方式和时限，将《行政处罚决定书》送达当事人。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7.执行责任：依照生效的行政处罚决定执行。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8.其他责任：法律法规规章文件规定应履行的其他责任。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snapToGrid w:val="0"/>
              <w:rPr>
                <w:rFonts w:hint="default"/>
                <w:lang w:val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1.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《中华人民共和国行政处罚法》第七十六条、第七十七条、第七十八条、第七十九条、第八十条、第八十一条、第八十二条、第八十三条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2.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四川省行政执法监督条例》第四十四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条</w:t>
            </w:r>
          </w:p>
        </w:tc>
        <w:tc>
          <w:tcPr>
            <w:tcW w:w="32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追责情形：</w:t>
            </w:r>
          </w:p>
          <w:p>
            <w:pPr>
              <w:snapToGrid w:val="0"/>
              <w:rPr>
                <w:rFonts w:hint="default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《中华人民共和国行政处罚法》第七十六条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，《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中华人民共和国行政机关公务员处分条例》第二十一条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以及其他依法应当追究的情形。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免责情形：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《中华人民共和国行政机关公务员处分条例》第十三条、第十四条、第十五条以及其他依法应当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免责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的情形。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</w:p>
          <w:p>
            <w:pPr>
              <w:pStyle w:val="2"/>
              <w:rPr>
                <w:rFonts w:hint="default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85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监督电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话：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28-86669179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431" w:hRule="exact"/>
        </w:trPr>
        <w:tc>
          <w:tcPr>
            <w:tcW w:w="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处罚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</w:pPr>
            <w:r>
              <w:rPr>
                <w:rFonts w:hint="eastAsia" w:eastAsia="方正仿宋简体"/>
                <w:color w:val="auto"/>
                <w:kern w:val="0"/>
                <w:sz w:val="21"/>
                <w:szCs w:val="21"/>
                <w:lang w:bidi="zh-CN"/>
              </w:rPr>
              <w:t>对科技服务机构及其从业人员，在科技成果转化活动中，故意提供虚假的信息、 实验结果或者评估意见等欺骗当事人，或者与当事人一方串通欺骗另一方当事人的行政处罚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1.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《中华人民共和国促进科技成果转化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法》第四十八条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2.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《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四川省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促进科技成果转化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条例》第三十一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条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成果转化与区域创新处</w:t>
            </w:r>
          </w:p>
        </w:tc>
        <w:tc>
          <w:tcPr>
            <w:tcW w:w="45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1.立案责任：发现科技服务机构及其从业人员故意提供虚假的信息、实验结果或者评估意见等欺骗当事人，或者与当事人一方串通欺骗另一方当事人的，予以审查，决定是否立案。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2.调查责任：对立案的案件及时组织调查取证，与当事人有直接利害关系的应当回避。执法人员不得少于两人，询问或者检查应当制作笔录，允许当事人陈述和辩解。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3.审查责任：对案件违法事实、证据、调查取证程序、法律使用、处罚种类和幅度、当事人陈述和申辩进行审查，提出处理意见。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4.告知责任：作出行政处罚前，应制作《行政处罚告知书》送达当事人，告知其作出行政处罚决定的事实、理由及依据，并告知当事人依法享有的权利。符合听证规定的，制作并送达《行政处罚听证告知书》。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5.决定责任：作出处罚决定，制作《行政处罚决定书》，并载明行政处罚告知、当事人陈述申辩或者听证情况等内容。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6.送达责任：按照法律法规规定的方式和时限，将《行政处罚决定书》送达当事人。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7.执行责任：依照生效的行政处罚决定执行。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8.其他责任：法律法规规章文件规定应履行的其他责任。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snapToGrid w:val="0"/>
              <w:rPr>
                <w:rFonts w:hint="default"/>
                <w:lang w:val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1.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《中华人民共和国行政处罚法》第七十六条、第七十七条、第七十八条、第七十九条、第八十条、第八十一条、第八十二条、第八十三条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2.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四川省行政执法监督条例》第四十四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条</w:t>
            </w:r>
          </w:p>
        </w:tc>
        <w:tc>
          <w:tcPr>
            <w:tcW w:w="32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追责情形：</w:t>
            </w:r>
          </w:p>
          <w:p>
            <w:pPr>
              <w:snapToGrid w:val="0"/>
              <w:rPr>
                <w:rFonts w:hint="default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《中华人民共和国行政处罚法》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第七十六条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，《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中华人民共和国行政机关公务员处分条例》第二十一条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以及其他依法应当追究的情形。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免责情形：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《中华人民共和国行政机关公务员处分条例》第十三条、第十四条、第十五条以及其他依法应当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免责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的情形。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85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监督电话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28-86669179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216" w:hRule="exact"/>
        </w:trPr>
        <w:tc>
          <w:tcPr>
            <w:tcW w:w="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处罚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对违反实验动物管理规定的单位的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行政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处罚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实验动物管理条例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》第五条第二款、第三十一条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资源配置与管理处</w:t>
            </w:r>
          </w:p>
        </w:tc>
        <w:tc>
          <w:tcPr>
            <w:tcW w:w="45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" w:bidi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 xml:space="preserve">立案责任：发现涉嫌违反《实验动物管理条例》规定的，予以审查，决定是否立案。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" w:bidi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 xml:space="preserve">调查责任：对立案的案件及时组织调查取证，与当事人有直接利害关系的应当回避。执法人员不得少于两人，询问或者检查应当制作笔录，允许当事人陈述和辩解。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" w:bidi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审查责任：对案件违法事实、证据、调查取证程序、法律适用、处罚种 类和幅度、当事人陈述和申辩进行审查，提出处理意见。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" w:bidi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 xml:space="preserve">告知责任：作出行政处罚前，应制作《行政处罚告知书》送达当事人，告知其作出行政处罚决定的事实、理由及依据，并告知当事人依法享有的权利。符合听证规定的，制作并送达《行政处罚听证告知书》。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 xml:space="preserve">5.决定责任：作出处罚决定，制作《行政处罚决定书》，并载明行政处罚告知、当事人陈述申辩或者听证情况等内容。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" w:bidi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送达责任：按照法律法规规定的方式和时限，将《行政处罚决定书》送达当事人。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" w:bidi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执行责任：依照生效的行政处罚决定执行。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" w:bidi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其他责任：法律法规规章文件规定应履行的其他责任。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snapToGrid w:val="0"/>
              <w:rPr>
                <w:rFonts w:hint="default"/>
                <w:lang w:val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1.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《中华人民共和国行政处罚法》第七十六条、第七十七条、第七十八条、第七十九条、第八十条、第八十一条、第八十二条、第八十三条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2.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四川省行政执法监督条例》第四十四条</w:t>
            </w:r>
          </w:p>
        </w:tc>
        <w:tc>
          <w:tcPr>
            <w:tcW w:w="32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追责情形：</w:t>
            </w:r>
          </w:p>
          <w:p>
            <w:pPr>
              <w:snapToGrid w:val="0"/>
              <w:rPr>
                <w:rFonts w:hint="default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《中华人民共和国行政处罚法》第七十六条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，《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中华人民共和国行政机关公务员处分条例》第二十一条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以及其他依法应当追究的情形。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免责情形：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《中华人民共和国行政机关公务员处分条例》第十三条、第十四条、第十五条以及其他依法应当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免责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的情形。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85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监督电话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28-86669179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964" w:hRule="exact"/>
        </w:trPr>
        <w:tc>
          <w:tcPr>
            <w:tcW w:w="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确认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技术合同认定登记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instrText xml:space="preserve"> HYPERLINK "https://baike.so.com/doc/4826432-5043187.html" \t "/home/user/Documents\x/_blank" </w:instrTex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技术合同认定登记管理办法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fldChar w:fldCharType="end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》（国科发政字〔20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00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〕063号）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第四条、第五条、第六条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2.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四川省技术合同认定登记管理办法》（川科发成〔201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〕4号）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第一条、第四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条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成果转化与区域创新处</w:t>
            </w:r>
          </w:p>
        </w:tc>
        <w:tc>
          <w:tcPr>
            <w:tcW w:w="45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1.受理责任：按照公示应当提交的材料，依法受理，材料不全的应当一次性告之补正。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 xml:space="preserve">2.审查责任：对认定登记材料进行形式审查和技术性审查，对符合技术合同认定登记办法规定范围和条件的技术合同，在受理 30日内完成认定登记事项。对不符合技术合同认定登记范围和条件的告之并说明理由。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3.决定责任：按照技术合同认定登记管理办法相关规定予以认定登记。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4.送达责任：技术合同认定登记后，凭技术合同认定登记机构出具的登记证明，办理技术合同认定登记审核，并盖技术市场管理专用章。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" w:bidi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事后监管责任：技术合同管理，对认定登记并审核通过的技术合同，进入全国技术合同管理系统。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" w:bidi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其他责任：其他法律法规规章文件规定应履行的责任。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《中华人民共和国行政监察法》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第四十八条、第四十九条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2.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四川省行政执法监督条例》第四十四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3.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instrText xml:space="preserve"> HYPERLINK "https://baike.so.com/doc/4826432-5043187.html" \t "/home/user/Documents\\x/_blank" </w:instrTex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技术合同认定登记管理办法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fldChar w:fldCharType="end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》（国科发政字〔20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00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〕063号）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第二十三条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4.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四川省技术合同认定登记管理办法》（川科发成〔201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〕4号）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第二十三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条</w:t>
            </w:r>
          </w:p>
        </w:tc>
        <w:tc>
          <w:tcPr>
            <w:tcW w:w="32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追责情形：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《四川省行政审批违法违纪行为责任追究办法》第五条、第六条、第七条、第九条以及其他依法应当追究的情形。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免责情形：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《中华人民共和国行政机关公务员处分条例》第十三条、第十四条、第十五条以及其他依法应当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免责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的情形。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85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监督电话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28-86669179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494" w:hRule="exact"/>
        </w:trPr>
        <w:tc>
          <w:tcPr>
            <w:tcW w:w="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奖励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eastAsia="方正仿宋简体"/>
                <w:color w:val="auto"/>
                <w:kern w:val="0"/>
                <w:sz w:val="21"/>
                <w:szCs w:val="21"/>
                <w:lang w:val="zh-CN" w:eastAsia="zh-CN" w:bidi="zh-CN"/>
              </w:rPr>
              <w:t>对科技创新和科技进步做出突出贡献的奖励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highlight w:val="none"/>
                <w:lang w:bidi="zh-CN"/>
              </w:rPr>
              <w:t>四川省科学技术奖励条例》第十一条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2.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highlight w:val="none"/>
                <w:lang w:bidi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四川省科学技术奖励办法》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第二条、第十一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科技奖励与科普处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45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bidi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制定方案责任：负责四川省科学技术奖评审的组织工作，负责制定四川省科学技术奖</w:t>
            </w:r>
            <w:r>
              <w:rPr>
                <w:rFonts w:hint="default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评审范围、评价指标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、评审规程等。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2.组织提名责任：组织省直相关部门、市（州）人民政府</w:t>
            </w:r>
            <w:r>
              <w:rPr>
                <w:rFonts w:hint="default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有关单位</w:t>
            </w:r>
            <w:r>
              <w:rPr>
                <w:rFonts w:hint="default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和机构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、科学技术专家提名四川省科学技术奖</w:t>
            </w:r>
            <w:r>
              <w:rPr>
                <w:rFonts w:hint="default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候选项目和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候选人；</w:t>
            </w:r>
            <w:r>
              <w:rPr>
                <w:rFonts w:hint="default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提名者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填写统一格式的</w:t>
            </w:r>
            <w:r>
              <w:rPr>
                <w:rFonts w:hint="default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提名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书，并提供客观、真实的评价材料。提名时，应当对</w:t>
            </w:r>
            <w:r>
              <w:rPr>
                <w:rFonts w:hint="default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提名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材料进行审查</w:t>
            </w:r>
            <w:r>
              <w:rPr>
                <w:rFonts w:hint="default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3.审核公示责任：对提名材料进行形式审查，</w:t>
            </w:r>
            <w:r>
              <w:rPr>
                <w:rFonts w:hint="default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通过形式审查的项目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向社会进行公示。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4.组织评审责任：对形式审查合格并经公</w:t>
            </w:r>
            <w:r>
              <w:rPr>
                <w:rFonts w:hint="default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示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无异议的提名</w:t>
            </w:r>
            <w:r>
              <w:rPr>
                <w:rFonts w:hint="default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项目，组织相关领域专家进行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初评</w:t>
            </w:r>
            <w:r>
              <w:rPr>
                <w:rFonts w:hint="default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（网络评审）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、专业</w:t>
            </w:r>
            <w:r>
              <w:rPr>
                <w:rFonts w:hint="default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（学科）评审、综合评审，并将综合评审形成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的</w:t>
            </w:r>
            <w:r>
              <w:rPr>
                <w:rFonts w:hint="default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拟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奖</w:t>
            </w:r>
            <w:r>
              <w:rPr>
                <w:rFonts w:hint="default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者和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奖励等级</w:t>
            </w:r>
            <w:r>
              <w:rPr>
                <w:rFonts w:hint="default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建议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向社会公示。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5.审议上报责任：提请省</w:t>
            </w:r>
            <w:r>
              <w:rPr>
                <w:rFonts w:hint="default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科技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奖励委员会对</w:t>
            </w:r>
            <w:r>
              <w:rPr>
                <w:rFonts w:hint="default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综合评审形成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的</w:t>
            </w:r>
            <w:r>
              <w:rPr>
                <w:rFonts w:hint="default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拟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奖</w:t>
            </w:r>
            <w:r>
              <w:rPr>
                <w:rFonts w:hint="default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者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和奖励等级</w:t>
            </w:r>
            <w:r>
              <w:rPr>
                <w:rFonts w:hint="default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建议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进行审议，并报请省政府批准。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6.协助表彰责任：承办省科技奖励大会，对获奖人选和项目进行表彰。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7.其他责任：法律法规规章文件规定应履行的其他责任。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《中华人民共和国行政监察法》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highlight w:val="none"/>
                <w:lang w:bidi="zh-CN"/>
              </w:rPr>
              <w:t>第四十八条、第四十九条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2.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highlight w:val="none"/>
                <w:lang w:bidi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四川省行政执法监督条例》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第四十四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条</w:t>
            </w:r>
          </w:p>
        </w:tc>
        <w:tc>
          <w:tcPr>
            <w:tcW w:w="32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追责情形：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《四川省行政审批违法违纪行为责任追究办法》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第五条、第六条、第七条、第九条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以及其他依法应当追究的情形。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免责情形：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《中华人民共和国行政机关公务员处分条例》第十三条、第十四条、第十五条以及其他依法应当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免责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的情形。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</w:pPr>
          </w:p>
        </w:tc>
        <w:tc>
          <w:tcPr>
            <w:tcW w:w="85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监督电话：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28-86669179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379" w:hRule="exact"/>
        </w:trPr>
        <w:tc>
          <w:tcPr>
            <w:tcW w:w="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其他行政权力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省级科技企业孵化器备案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《中华人民共和国促进科技成果转化法》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第三十二条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2.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四川省科技企业孵化器备案办法》（川科高〔2016〕18号）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第五条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高新技术处</w:t>
            </w:r>
          </w:p>
        </w:tc>
        <w:tc>
          <w:tcPr>
            <w:tcW w:w="45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1.制定方案责任：负责组织四川省科技企业孵化器备案，负责制定四川省科技企业孵化器备案通知。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2.受理责任：一次性告知补正材料，依法受理或不予受理（不予受理应当告知理由）。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3.评审责任：组织专家组对申请单位的申请材料进行评审和现场考察，出具专家组评审意见。发现该事项直接关系他人重大利益的，应当告知该利害关系人。申请人、利害关系人有权进行陈述和申辩。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4.审议上报责任：提请省科技厅办公会审议。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5.公示责任：经省科技厅办公会审议同意后，将评审结果向社会进行公示。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6.备案责任：对公示无异议的，发布备案结果通知。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7.其他责任：法律法规规章文件规定应履行的其他责任。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《中华人民共和国行政监察法》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highlight w:val="none"/>
                <w:lang w:bidi="zh-CN"/>
              </w:rPr>
              <w:t>第四十八条、第四十九条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</w:pP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2.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highlight w:val="none"/>
                <w:lang w:bidi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四川省行政执法监督条例》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第四十四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条</w:t>
            </w:r>
          </w:p>
        </w:tc>
        <w:tc>
          <w:tcPr>
            <w:tcW w:w="32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追责情形：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《四川省行政审批违法违纪行为责任追究办法》第五条、第六条、第七条、第九条以及其他依法应当追究的情形。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免责情形：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《中华人民共和国行政机关公务员处分条例》第十三条、第十四条、第十五条以及其他依法应当</w:t>
            </w:r>
            <w:r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免责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的情形。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</w:p>
          <w:p>
            <w:pPr>
              <w:pStyle w:val="2"/>
              <w:rPr>
                <w:rFonts w:hint="default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85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监督电话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bidi="zh-CN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en-US" w:bidi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  <w:t>28-86669179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1"/>
                <w:szCs w:val="21"/>
                <w:lang w:val="zh-CN" w:bidi="zh-CN"/>
              </w:rPr>
            </w:pPr>
          </w:p>
        </w:tc>
      </w:tr>
      <w:bookmarkEnd w:id="0"/>
    </w:tbl>
    <w:p>
      <w:pPr>
        <w:pStyle w:val="10"/>
        <w:shd w:val="clear" w:color="auto" w:fill="auto"/>
        <w:tabs>
          <w:tab w:val="left" w:pos="298"/>
        </w:tabs>
        <w:ind w:left="106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</w:rPr>
      </w:pPr>
    </w:p>
    <w:sectPr>
      <w:pgSz w:w="16838" w:h="11906" w:orient="landscape"/>
      <w:pgMar w:top="1797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gLiU">
    <w:panose1 w:val="02020309000000000000"/>
    <w:charset w:val="88"/>
    <w:family w:val="modern"/>
    <w:pitch w:val="default"/>
    <w:sig w:usb0="00000003" w:usb1="082E0000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580AD"/>
    <w:rsid w:val="77D580AD"/>
    <w:rsid w:val="D25F450C"/>
    <w:rsid w:val="FB37F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0"/>
      <w:ind w:firstLine="420" w:firstLineChars="200"/>
    </w:pPr>
    <w:rPr>
      <w:rFonts w:ascii="Calibri" w:hAnsi="Calibri" w:eastAsia="宋体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标题 #1"/>
    <w:basedOn w:val="1"/>
    <w:qFormat/>
    <w:uiPriority w:val="0"/>
    <w:pPr>
      <w:shd w:val="clear" w:color="auto" w:fill="FFFFFF"/>
      <w:spacing w:after="280"/>
      <w:jc w:val="center"/>
      <w:outlineLvl w:val="0"/>
    </w:pPr>
    <w:rPr>
      <w:rFonts w:ascii="MingLiU" w:hAnsi="MingLiU" w:eastAsia="MingLiU" w:cs="MingLiU"/>
      <w:kern w:val="0"/>
      <w:sz w:val="42"/>
      <w:szCs w:val="42"/>
      <w:lang w:val="zh-CN" w:bidi="zh-CN"/>
    </w:rPr>
  </w:style>
  <w:style w:type="paragraph" w:customStyle="1" w:styleId="9">
    <w:name w:val="其他"/>
    <w:basedOn w:val="1"/>
    <w:qFormat/>
    <w:uiPriority w:val="0"/>
    <w:pPr>
      <w:shd w:val="clear" w:color="auto" w:fill="FFFFFF"/>
      <w:spacing w:line="406" w:lineRule="auto"/>
      <w:ind w:firstLine="400"/>
      <w:jc w:val="left"/>
    </w:pPr>
    <w:rPr>
      <w:rFonts w:ascii="MingLiU" w:hAnsi="MingLiU" w:eastAsia="MingLiU" w:cs="MingLiU"/>
      <w:kern w:val="0"/>
      <w:sz w:val="30"/>
      <w:szCs w:val="30"/>
      <w:lang w:val="zh-CN" w:bidi="zh-CN"/>
    </w:rPr>
  </w:style>
  <w:style w:type="paragraph" w:customStyle="1" w:styleId="10">
    <w:name w:val="表格标题"/>
    <w:basedOn w:val="1"/>
    <w:qFormat/>
    <w:uiPriority w:val="0"/>
    <w:pPr>
      <w:shd w:val="clear" w:color="auto" w:fill="FFFFFF"/>
      <w:spacing w:after="60"/>
      <w:jc w:val="left"/>
    </w:pPr>
    <w:rPr>
      <w:rFonts w:ascii="MingLiU" w:hAnsi="MingLiU" w:eastAsia="MingLiU" w:cs="MingLiU"/>
      <w:kern w:val="0"/>
      <w:sz w:val="2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2022-02-10T07:30:00Z</dcterms:created>
  <dc:creator>user</dc:creator>
  <cp:lastModifiedBy>user</cp:lastModifiedBy>
  <dcterms:modified xsi:type="dcterms:W3CDTF">2022-02-10T17:27:40Z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